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3777" w14:textId="37510785" w:rsidR="003F04C9" w:rsidRDefault="003F04C9" w:rsidP="003868FA">
      <w:pPr>
        <w:pStyle w:val="Sinespaciado"/>
      </w:pPr>
      <w:r>
        <w:rPr>
          <w:lang w:val="es-ES_tradnl"/>
        </w:rPr>
        <w:t xml:space="preserve">Irapuato, Guanajuato; a 29 veintinueve de enero del año 2026 dos mil </w:t>
      </w:r>
      <w:proofErr w:type="gramStart"/>
      <w:r>
        <w:rPr>
          <w:lang w:val="es-ES_tradnl"/>
        </w:rPr>
        <w:t>veintiséis.-</w:t>
      </w:r>
      <w:proofErr w:type="gramEnd"/>
      <w:r>
        <w:rPr>
          <w:lang w:val="es-ES_tradnl"/>
        </w:rPr>
        <w:t xml:space="preserve"> </w:t>
      </w:r>
      <w:r>
        <w:rPr>
          <w:bCs/>
          <w:lang w:val="es-ES_tradnl"/>
        </w:rPr>
        <w:t>- - - - - - - - - - - - - - - - - - - - - - -</w:t>
      </w:r>
    </w:p>
    <w:p w14:paraId="115BB7EF" w14:textId="0AAA2C74" w:rsidR="003F04C9" w:rsidRDefault="003F04C9" w:rsidP="003F04C9">
      <w:pPr>
        <w:spacing w:line="360" w:lineRule="auto"/>
        <w:ind w:firstLine="708"/>
        <w:jc w:val="both"/>
        <w:rPr>
          <w:rFonts w:ascii="Verdana" w:hAnsi="Verdana" w:cs="Verdana"/>
          <w:bCs/>
          <w:sz w:val="26"/>
          <w:szCs w:val="26"/>
        </w:rPr>
      </w:pPr>
      <w:r>
        <w:rPr>
          <w:rFonts w:ascii="Verdana" w:hAnsi="Verdana" w:cs="Verdana"/>
          <w:sz w:val="26"/>
          <w:szCs w:val="26"/>
        </w:rPr>
        <w:t>Con el escrito de demanda y documentos que se acompañan a la misma, presentada en la Oficialía Común de Partes a 10:23 diez horas con veintitrés minutos del 23 veintitrés de los corrientes y recibida en la Secretaría de este Juzgado a las 09:01 nueve horas con un</w:t>
      </w:r>
      <w:r w:rsidR="00AB57DA">
        <w:rPr>
          <w:rFonts w:ascii="Verdana" w:hAnsi="Verdana" w:cs="Verdana"/>
          <w:sz w:val="26"/>
          <w:szCs w:val="26"/>
        </w:rPr>
        <w:t xml:space="preserve"> </w:t>
      </w:r>
      <w:r>
        <w:rPr>
          <w:rFonts w:ascii="Verdana" w:hAnsi="Verdana" w:cs="Verdana"/>
          <w:sz w:val="26"/>
          <w:szCs w:val="26"/>
        </w:rPr>
        <w:t xml:space="preserve">minutos del 26 veintiséis; fórmese el expediente respectivo, y regístrese en el libro de este Juzgado bajo el número </w:t>
      </w:r>
      <w:r>
        <w:rPr>
          <w:rFonts w:ascii="Verdana" w:hAnsi="Verdana" w:cs="Verdana"/>
          <w:b/>
          <w:bCs/>
          <w:sz w:val="26"/>
          <w:szCs w:val="26"/>
        </w:rPr>
        <w:t>SOM42/2026</w:t>
      </w:r>
      <w:r>
        <w:rPr>
          <w:rFonts w:ascii="Verdana" w:hAnsi="Verdana" w:cs="Verdana"/>
          <w:sz w:val="26"/>
          <w:szCs w:val="26"/>
        </w:rPr>
        <w:t xml:space="preserve">. Guárdese en el Secreto del Juzgado la documental que se adjunta y glósese a los autos copia simple de la misma, previo cotejo que realice la Secretaria de este </w:t>
      </w:r>
      <w:proofErr w:type="gramStart"/>
      <w:r>
        <w:rPr>
          <w:rFonts w:ascii="Verdana" w:hAnsi="Verdana" w:cs="Verdana"/>
          <w:sz w:val="26"/>
          <w:szCs w:val="26"/>
        </w:rPr>
        <w:t>Tribunal.-</w:t>
      </w:r>
      <w:proofErr w:type="gramEnd"/>
      <w:r>
        <w:rPr>
          <w:rFonts w:ascii="Verdana" w:hAnsi="Verdana" w:cs="Verdana"/>
          <w:sz w:val="26"/>
          <w:szCs w:val="26"/>
        </w:rPr>
        <w:t xml:space="preserve"> - </w:t>
      </w:r>
      <w:r>
        <w:rPr>
          <w:rFonts w:ascii="Verdana" w:hAnsi="Verdana" w:cs="Verdana"/>
          <w:bCs/>
          <w:sz w:val="26"/>
          <w:szCs w:val="26"/>
        </w:rPr>
        <w:t xml:space="preserve">- - - - - - </w:t>
      </w:r>
    </w:p>
    <w:p w14:paraId="4B6ECD64" w14:textId="528BC995" w:rsidR="003F04C9" w:rsidRDefault="003F04C9" w:rsidP="003F04C9">
      <w:pPr>
        <w:spacing w:line="360" w:lineRule="auto"/>
        <w:ind w:firstLine="708"/>
        <w:jc w:val="both"/>
        <w:rPr>
          <w:rFonts w:ascii="Verdana" w:hAnsi="Verdana" w:cs="Tahoma"/>
          <w:sz w:val="26"/>
          <w:szCs w:val="26"/>
        </w:rPr>
      </w:pPr>
      <w:r>
        <w:rPr>
          <w:rFonts w:ascii="Verdana" w:hAnsi="Verdana" w:cs="Verdana"/>
          <w:sz w:val="26"/>
          <w:szCs w:val="26"/>
        </w:rPr>
        <w:t>Visto el escrito de cuenta,</w:t>
      </w:r>
      <w:r>
        <w:rPr>
          <w:rFonts w:ascii="Verdana" w:hAnsi="Verdana" w:cs="Tahoma"/>
          <w:sz w:val="26"/>
          <w:szCs w:val="26"/>
        </w:rPr>
        <w:t xml:space="preserve"> se tiene a</w:t>
      </w:r>
      <w:r>
        <w:rPr>
          <w:rFonts w:ascii="Verdana" w:hAnsi="Verdana" w:cs="Tahoma"/>
          <w:bCs/>
          <w:sz w:val="26"/>
          <w:szCs w:val="26"/>
        </w:rPr>
        <w:t xml:space="preserve"> </w:t>
      </w:r>
      <w:r w:rsidRPr="003F04C9">
        <w:rPr>
          <w:rFonts w:ascii="Verdana" w:hAnsi="Verdana" w:cs="Tahoma"/>
          <w:b/>
          <w:sz w:val="26"/>
          <w:szCs w:val="26"/>
        </w:rPr>
        <w:t>Baltazar Gutiérrez Negrete</w:t>
      </w:r>
      <w:r>
        <w:rPr>
          <w:rFonts w:ascii="Verdana" w:hAnsi="Verdana" w:cs="Tahoma"/>
          <w:bCs/>
          <w:sz w:val="26"/>
          <w:szCs w:val="26"/>
        </w:rPr>
        <w:t xml:space="preserve"> </w:t>
      </w:r>
      <w:r>
        <w:rPr>
          <w:rFonts w:ascii="Verdana" w:hAnsi="Verdana" w:cs="Verdana"/>
          <w:sz w:val="26"/>
          <w:szCs w:val="26"/>
        </w:rPr>
        <w:t xml:space="preserve">compareciendo a proceso con el carácter de apoderado de </w:t>
      </w:r>
      <w:r>
        <w:rPr>
          <w:rFonts w:ascii="Verdana" w:hAnsi="Verdana" w:cs="Verdana"/>
          <w:b/>
          <w:bCs/>
          <w:sz w:val="26"/>
          <w:szCs w:val="26"/>
        </w:rPr>
        <w:t xml:space="preserve">“Club Deportivo Irapuato”, Asociación Civil; </w:t>
      </w:r>
      <w:r>
        <w:rPr>
          <w:rFonts w:ascii="Verdana" w:hAnsi="Verdana" w:cs="Tahoma"/>
          <w:sz w:val="26"/>
          <w:szCs w:val="26"/>
        </w:rPr>
        <w:t xml:space="preserve">mismo que acredita con copia certificada de la escritura pública número 6,954 seis mil novecientos cincuenta y cuatro, </w:t>
      </w:r>
    </w:p>
    <w:p w14:paraId="06AC0E4A" w14:textId="3CDC88BC" w:rsidR="003F04C9" w:rsidRPr="003F04C9" w:rsidRDefault="003F04C9" w:rsidP="003F04C9">
      <w:pPr>
        <w:spacing w:line="360" w:lineRule="auto"/>
        <w:jc w:val="both"/>
        <w:rPr>
          <w:rFonts w:ascii="Verdana" w:hAnsi="Verdana" w:cs="Tahoma"/>
          <w:sz w:val="26"/>
          <w:szCs w:val="26"/>
        </w:rPr>
      </w:pPr>
      <w:r>
        <w:rPr>
          <w:rFonts w:ascii="Verdana" w:hAnsi="Verdana" w:cs="Tahoma"/>
          <w:sz w:val="26"/>
          <w:szCs w:val="26"/>
        </w:rPr>
        <w:t>tirada en este municipio el 05 cinco de marzo del año 2025 dos mil veinticinco por el notario público 54 cincuenta y cuatro, licenciado</w:t>
      </w:r>
      <w:r>
        <w:rPr>
          <w:rFonts w:ascii="Verdana" w:hAnsi="Verdana" w:cs="Tahoma"/>
          <w:bCs/>
          <w:sz w:val="26"/>
          <w:szCs w:val="26"/>
        </w:rPr>
        <w:t xml:space="preserve"> José de la Luz </w:t>
      </w:r>
      <w:proofErr w:type="spellStart"/>
      <w:r>
        <w:rPr>
          <w:rFonts w:ascii="Verdana" w:hAnsi="Verdana" w:cs="Tahoma"/>
          <w:bCs/>
          <w:sz w:val="26"/>
          <w:szCs w:val="26"/>
        </w:rPr>
        <w:t>Santibañez</w:t>
      </w:r>
      <w:proofErr w:type="spellEnd"/>
      <w:r>
        <w:rPr>
          <w:rFonts w:ascii="Verdana" w:hAnsi="Verdana" w:cs="Tahoma"/>
          <w:bCs/>
          <w:sz w:val="26"/>
          <w:szCs w:val="26"/>
        </w:rPr>
        <w:t xml:space="preserve"> Cantero</w:t>
      </w:r>
      <w:r>
        <w:rPr>
          <w:rFonts w:ascii="Verdana" w:hAnsi="Verdana" w:cs="Tahoma"/>
          <w:sz w:val="26"/>
          <w:szCs w:val="26"/>
        </w:rPr>
        <w:t xml:space="preserve">; instrumento al que se confiere eficacia plena de conformidad con lo que disponen los artículos 1237 mil doscientos treinta y siete y 1292 mil doscientos noventa y dos del Código de Comercio y del que se desprende que el compareciente  se encuentra plenamente facultado para representar en proceso al mencionado ente jurídico colectivo, ya que constituye la formalización del poder general para pleitos y cobranzas que le otorgó dicha asociación a través de Juan Manuel Albo </w:t>
      </w:r>
      <w:r>
        <w:rPr>
          <w:rFonts w:ascii="Verdana" w:hAnsi="Verdana" w:cs="Tahoma"/>
          <w:sz w:val="26"/>
          <w:szCs w:val="26"/>
        </w:rPr>
        <w:lastRenderedPageBreak/>
        <w:t xml:space="preserve">Moreno, quien se encontraba debidamente facultado para delegar representación, según consta en el capítulo de personalidad.- </w:t>
      </w:r>
      <w:r>
        <w:rPr>
          <w:rFonts w:ascii="Verdana" w:hAnsi="Verdana" w:cs="Verdana"/>
          <w:sz w:val="26"/>
          <w:szCs w:val="26"/>
        </w:rPr>
        <w:t xml:space="preserve">- - - - - - - </w:t>
      </w:r>
      <w:r>
        <w:rPr>
          <w:rFonts w:ascii="Verdana" w:hAnsi="Verdana" w:cs="Arial"/>
          <w:sz w:val="26"/>
          <w:szCs w:val="26"/>
        </w:rPr>
        <w:t>- - - - - - - - - - - - - - - - - - - - - -</w:t>
      </w:r>
    </w:p>
    <w:p w14:paraId="11ACE4C8" w14:textId="208F4590" w:rsidR="003F04C9" w:rsidRDefault="003F04C9" w:rsidP="003F04C9">
      <w:pPr>
        <w:spacing w:line="360" w:lineRule="auto"/>
        <w:ind w:firstLine="708"/>
        <w:jc w:val="both"/>
        <w:rPr>
          <w:rFonts w:ascii="Verdana" w:eastAsia="Calibri" w:hAnsi="Verdana" w:cs="Verdana"/>
          <w:bCs/>
          <w:sz w:val="26"/>
          <w:szCs w:val="26"/>
          <w:lang w:val="es-ES_tradnl"/>
        </w:rPr>
      </w:pPr>
      <w:r>
        <w:rPr>
          <w:rFonts w:ascii="Verdana" w:hAnsi="Verdana" w:cs="Arial"/>
          <w:sz w:val="26"/>
          <w:szCs w:val="26"/>
        </w:rPr>
        <w:t xml:space="preserve">En consecuencia y con apoyo en lo dispuesto en los artículos 1390 mil trescientos noventa Bis, 1390 mil trescientos noventa Bis 9 nueve y 1390 mil trescientos noventa Bis 11 once del Código de Comercio </w:t>
      </w:r>
      <w:r>
        <w:rPr>
          <w:rFonts w:ascii="Verdana" w:eastAsia="Calibri" w:hAnsi="Verdana" w:cs="Verdana"/>
          <w:b/>
          <w:i/>
          <w:sz w:val="26"/>
          <w:szCs w:val="26"/>
          <w:lang w:val="es-ES_tradnl"/>
        </w:rPr>
        <w:t>se admite en vía de proceso oral mercantil la demanda</w:t>
      </w:r>
      <w:r>
        <w:rPr>
          <w:rFonts w:ascii="Verdana" w:eastAsia="Calibri" w:hAnsi="Verdana" w:cs="Verdana"/>
          <w:sz w:val="26"/>
          <w:szCs w:val="26"/>
          <w:lang w:val="es-ES_tradnl"/>
        </w:rPr>
        <w:t xml:space="preserve"> que interpone </w:t>
      </w:r>
      <w:r>
        <w:rPr>
          <w:rFonts w:ascii="Verdana" w:hAnsi="Verdana" w:cs="Verdana"/>
          <w:b/>
          <w:bCs/>
          <w:sz w:val="26"/>
          <w:szCs w:val="26"/>
        </w:rPr>
        <w:t>“Club Deportivo Irapuato”, Asociación Civil</w:t>
      </w:r>
      <w:r>
        <w:rPr>
          <w:rFonts w:ascii="Verdana" w:hAnsi="Verdana" w:cs="Tahoma"/>
          <w:b/>
          <w:sz w:val="26"/>
          <w:szCs w:val="26"/>
        </w:rPr>
        <w:t xml:space="preserve">, </w:t>
      </w:r>
      <w:r>
        <w:rPr>
          <w:rFonts w:ascii="Verdana" w:hAnsi="Verdana" w:cs="Tahoma"/>
          <w:bCs/>
          <w:sz w:val="26"/>
          <w:szCs w:val="26"/>
        </w:rPr>
        <w:t xml:space="preserve">representada por </w:t>
      </w:r>
      <w:r w:rsidRPr="003F04C9">
        <w:rPr>
          <w:rFonts w:ascii="Verdana" w:hAnsi="Verdana" w:cs="Tahoma"/>
          <w:b/>
          <w:sz w:val="26"/>
          <w:szCs w:val="26"/>
        </w:rPr>
        <w:t>Baltazar Gutiérrez Negrete</w:t>
      </w:r>
      <w:r>
        <w:rPr>
          <w:rFonts w:ascii="Verdana" w:hAnsi="Verdana" w:cs="Tahoma"/>
          <w:b/>
          <w:sz w:val="26"/>
          <w:szCs w:val="26"/>
        </w:rPr>
        <w:t>,</w:t>
      </w:r>
      <w:r>
        <w:rPr>
          <w:rFonts w:ascii="Verdana" w:eastAsia="Calibri" w:hAnsi="Verdana" w:cs="Verdana"/>
          <w:bCs/>
          <w:sz w:val="26"/>
          <w:szCs w:val="26"/>
          <w:lang w:val="es-ES_tradnl"/>
        </w:rPr>
        <w:t xml:space="preserve"> en contra</w:t>
      </w:r>
      <w:r>
        <w:rPr>
          <w:rFonts w:ascii="Verdana" w:eastAsia="Calibri" w:hAnsi="Verdana" w:cs="Verdana"/>
          <w:b/>
          <w:bCs/>
          <w:sz w:val="26"/>
          <w:szCs w:val="26"/>
          <w:lang w:val="es-ES_tradnl"/>
        </w:rPr>
        <w:t xml:space="preserve"> </w:t>
      </w:r>
      <w:r>
        <w:rPr>
          <w:rFonts w:ascii="Verdana" w:eastAsia="Calibri" w:hAnsi="Verdana" w:cs="Verdana"/>
          <w:bCs/>
          <w:sz w:val="26"/>
          <w:szCs w:val="26"/>
          <w:lang w:val="es-ES_tradnl"/>
        </w:rPr>
        <w:t>de “</w:t>
      </w:r>
      <w:proofErr w:type="spellStart"/>
      <w:r>
        <w:rPr>
          <w:rFonts w:ascii="Verdana" w:eastAsia="Calibri" w:hAnsi="Verdana" w:cs="Verdana"/>
          <w:b/>
          <w:sz w:val="26"/>
          <w:szCs w:val="26"/>
          <w:lang w:val="es-ES_tradnl"/>
        </w:rPr>
        <w:t>Healty</w:t>
      </w:r>
      <w:proofErr w:type="spellEnd"/>
      <w:r>
        <w:rPr>
          <w:rFonts w:ascii="Verdana" w:eastAsia="Calibri" w:hAnsi="Verdana" w:cs="Verdana"/>
          <w:b/>
          <w:sz w:val="26"/>
          <w:szCs w:val="26"/>
          <w:lang w:val="es-ES_tradnl"/>
        </w:rPr>
        <w:t xml:space="preserve"> People”</w:t>
      </w:r>
      <w:r>
        <w:rPr>
          <w:rFonts w:ascii="Verdana" w:eastAsia="Calibri" w:hAnsi="Verdana" w:cs="Verdana"/>
          <w:b/>
          <w:bCs/>
          <w:sz w:val="26"/>
          <w:szCs w:val="26"/>
          <w:lang w:val="es-ES_tradnl"/>
        </w:rPr>
        <w:t xml:space="preserve">, Sociedad de Responsabilidad Limitada de Capital Variable, </w:t>
      </w:r>
      <w:r>
        <w:rPr>
          <w:rFonts w:ascii="Verdana" w:eastAsia="Calibri" w:hAnsi="Verdana" w:cs="Verdana"/>
          <w:bCs/>
          <w:sz w:val="26"/>
          <w:szCs w:val="26"/>
          <w:lang w:val="es-ES_tradnl"/>
        </w:rPr>
        <w:t xml:space="preserve">sobre cumplimiento de contrato, pago de </w:t>
      </w:r>
      <w:r>
        <w:rPr>
          <w:rFonts w:ascii="Verdana" w:eastAsia="Calibri" w:hAnsi="Verdana" w:cs="Verdana"/>
          <w:b/>
          <w:bCs/>
          <w:sz w:val="26"/>
          <w:szCs w:val="26"/>
          <w:lang w:val="es-ES_tradnl"/>
        </w:rPr>
        <w:t>$872,320.00 (ochocientos setenta y dos mil trescientos veinte pesos 00</w:t>
      </w:r>
      <w:r>
        <w:rPr>
          <w:rFonts w:ascii="Verdana" w:eastAsia="Calibri" w:hAnsi="Verdana" w:cs="Verdana"/>
          <w:b/>
          <w:sz w:val="26"/>
          <w:szCs w:val="26"/>
          <w:lang w:val="es-ES_tradnl"/>
        </w:rPr>
        <w:t>/100 moneda nacional)</w:t>
      </w:r>
      <w:r>
        <w:rPr>
          <w:rFonts w:ascii="Verdana" w:eastAsia="Calibri" w:hAnsi="Verdana" w:cs="Verdana"/>
          <w:bCs/>
          <w:sz w:val="26"/>
          <w:szCs w:val="26"/>
          <w:lang w:val="es-ES_tradnl"/>
        </w:rPr>
        <w:t xml:space="preserve"> por concepto de suerte principal, pago de intereses moratorios y pago de costas.- - - - - - - - - - - - - - - - - - - - - - - - - - - - -</w:t>
      </w:r>
    </w:p>
    <w:p w14:paraId="30D19377" w14:textId="11D399AB" w:rsidR="003F04C9" w:rsidRDefault="003F04C9" w:rsidP="003F04C9">
      <w:pPr>
        <w:spacing w:line="360" w:lineRule="auto"/>
        <w:ind w:firstLine="708"/>
        <w:jc w:val="both"/>
        <w:rPr>
          <w:rFonts w:ascii="Verdana" w:hAnsi="Verdana" w:cs="Tahoma"/>
          <w:b/>
          <w:sz w:val="26"/>
          <w:szCs w:val="26"/>
        </w:rPr>
      </w:pPr>
      <w:r>
        <w:rPr>
          <w:rFonts w:ascii="Verdana" w:hAnsi="Verdana" w:cs="Tahoma"/>
          <w:bCs/>
          <w:sz w:val="26"/>
          <w:szCs w:val="26"/>
        </w:rPr>
        <w:t xml:space="preserve">En cumplimiento a lo dispuesto en los artículos 1390 mil trescientos noventa Bis 14 catorce y 1390 mil trescientos noventa Bis 15 quince del Código de Comercio, se ordena al actuario constituirse en el domicilio situado en </w:t>
      </w:r>
      <w:r>
        <w:rPr>
          <w:rFonts w:ascii="Verdana" w:hAnsi="Verdana" w:cs="Tahoma"/>
          <w:b/>
          <w:sz w:val="26"/>
          <w:szCs w:val="26"/>
        </w:rPr>
        <w:t xml:space="preserve">número 291 </w:t>
      </w:r>
      <w:proofErr w:type="spellStart"/>
      <w:r>
        <w:rPr>
          <w:rFonts w:ascii="Verdana" w:hAnsi="Verdana" w:cs="Tahoma"/>
          <w:b/>
          <w:sz w:val="26"/>
          <w:szCs w:val="26"/>
        </w:rPr>
        <w:t>docientos</w:t>
      </w:r>
      <w:proofErr w:type="spellEnd"/>
      <w:r>
        <w:rPr>
          <w:rFonts w:ascii="Verdana" w:hAnsi="Verdana" w:cs="Tahoma"/>
          <w:b/>
          <w:sz w:val="26"/>
          <w:szCs w:val="26"/>
        </w:rPr>
        <w:t xml:space="preserve"> noventa y uno del boulevard Lázaro Cárdenas de la colonia Jardines de Irapuato de este municipio </w:t>
      </w:r>
      <w:r>
        <w:rPr>
          <w:rFonts w:ascii="Verdana" w:hAnsi="Verdana" w:cs="Tahoma"/>
          <w:bCs/>
          <w:sz w:val="26"/>
          <w:szCs w:val="26"/>
        </w:rPr>
        <w:t xml:space="preserve">y emplazar a la parte demandada en términos del precepto legal citado en último término, corriéndole traslado con copia simple de la demanda, debidamente cotejada y sellada, y copia fotostática debidamente cotejada de los documentos acompañados al escrito de demanda, para que en el plazo de </w:t>
      </w:r>
      <w:r>
        <w:rPr>
          <w:rFonts w:ascii="Verdana" w:hAnsi="Verdana" w:cs="Tahoma"/>
          <w:b/>
          <w:sz w:val="26"/>
          <w:szCs w:val="26"/>
        </w:rPr>
        <w:lastRenderedPageBreak/>
        <w:t>9 nueve días</w:t>
      </w:r>
      <w:r>
        <w:rPr>
          <w:rFonts w:ascii="Verdana" w:hAnsi="Verdana" w:cs="Tahoma"/>
          <w:bCs/>
          <w:sz w:val="26"/>
          <w:szCs w:val="26"/>
        </w:rPr>
        <w:t xml:space="preserve"> entregue su contestación por escrito, en términos de lo dispuesto en el artículo 1390 mil trescientos noventa Bis 17 diecisiete del invocado ordenamiento legal;</w:t>
      </w:r>
      <w:r>
        <w:rPr>
          <w:rFonts w:ascii="Verdana" w:hAnsi="Verdana" w:cs="Tahoma"/>
          <w:b/>
          <w:bCs/>
          <w:i/>
          <w:sz w:val="26"/>
          <w:szCs w:val="26"/>
        </w:rPr>
        <w:t xml:space="preserve"> debiendo por tanto y en su caso precisar en cada hecho los documentos públicos o privados que se relacionen con el mismo y si los tiene a disposición, así como proporcionar el nombre y apellido de los testigos presenciales de cada hecho</w:t>
      </w:r>
      <w:r>
        <w:rPr>
          <w:rFonts w:ascii="Verdana" w:hAnsi="Verdana" w:cs="Tahoma"/>
          <w:bCs/>
          <w:sz w:val="26"/>
          <w:szCs w:val="26"/>
        </w:rPr>
        <w:t>.</w:t>
      </w:r>
      <w:r>
        <w:rPr>
          <w:rFonts w:ascii="Verdana" w:hAnsi="Verdana" w:cs="Verdana"/>
          <w:bCs/>
          <w:sz w:val="26"/>
          <w:szCs w:val="26"/>
        </w:rPr>
        <w:t xml:space="preserve">- - - - - - - - - - - - - - - - - - </w:t>
      </w:r>
    </w:p>
    <w:p w14:paraId="731308A8" w14:textId="77777777" w:rsidR="003F04C9" w:rsidRDefault="003F04C9" w:rsidP="003F04C9">
      <w:pPr>
        <w:spacing w:line="360" w:lineRule="auto"/>
        <w:ind w:firstLine="708"/>
        <w:jc w:val="both"/>
        <w:rPr>
          <w:rFonts w:ascii="Verdana" w:eastAsia="Calibri" w:hAnsi="Verdana" w:cs="Verdana"/>
          <w:bCs/>
          <w:sz w:val="26"/>
          <w:szCs w:val="26"/>
          <w:lang w:val="es-ES_tradnl"/>
        </w:rPr>
      </w:pPr>
      <w:r>
        <w:rPr>
          <w:rFonts w:ascii="Verdana" w:eastAsia="Calibri" w:hAnsi="Verdana" w:cs="Verdana"/>
          <w:bCs/>
          <w:sz w:val="26"/>
          <w:szCs w:val="26"/>
          <w:lang w:val="es-ES_tradnl"/>
        </w:rPr>
        <w:t xml:space="preserve">En relación con lo anterior, se hace saber que de transcurrir el plazo </w:t>
      </w:r>
      <w:proofErr w:type="spellStart"/>
      <w:r>
        <w:rPr>
          <w:rFonts w:ascii="Verdana" w:eastAsia="Calibri" w:hAnsi="Verdana" w:cs="Verdana"/>
          <w:bCs/>
          <w:sz w:val="26"/>
          <w:szCs w:val="26"/>
          <w:lang w:val="es-ES_tradnl"/>
        </w:rPr>
        <w:t>premencionado</w:t>
      </w:r>
      <w:proofErr w:type="spellEnd"/>
      <w:r>
        <w:rPr>
          <w:rFonts w:ascii="Verdana" w:eastAsia="Calibri" w:hAnsi="Verdana" w:cs="Verdana"/>
          <w:bCs/>
          <w:sz w:val="26"/>
          <w:szCs w:val="26"/>
          <w:lang w:val="es-ES_tradnl"/>
        </w:rPr>
        <w:t xml:space="preserve"> sin que se hubiere presentado contestación de demanda por escrito se procederá en términos de los artículos 1390 mil trecientos noventa Bis 16 dieciséis y 1390 mil trecientos noventa Bis 20 veinte del Código de Comercio. Es decir, que se señalará en forma inmediata fecha y hora para la celebración de la audiencia preliminar, misma que conforme al segundo de los citados artículos debe tener lugar dentro de los diez días siguientes y que se desarrolla en las etapas contempladas en el artículo 1390 mil trecientos noventa Bis 32 treinta y dos del referido ordenamiento legal, de las cuales la segunda tiene por objeto la conciliación y/o mediación por conducto del juez y por lo tanto favorece el derecho de acceso a la justicia previsto en el artículo 17 diecisiete de la Constitución Federal, ya que brinda a las partes la oportunidad de arreglar sus diferencias mediante la conciliación como medio alternativo al proceso judicial, que finaliza en un convenio equitativo para ambas partes de lograrse su propósito  y para cuya realización no se </w:t>
      </w:r>
      <w:r>
        <w:rPr>
          <w:rFonts w:ascii="Verdana" w:eastAsia="Calibri" w:hAnsi="Verdana" w:cs="Verdana"/>
          <w:bCs/>
          <w:sz w:val="26"/>
          <w:szCs w:val="26"/>
          <w:lang w:val="es-ES_tradnl"/>
        </w:rPr>
        <w:lastRenderedPageBreak/>
        <w:t xml:space="preserve">requiere de la asistencia de abogado; </w:t>
      </w:r>
      <w:r>
        <w:rPr>
          <w:rFonts w:ascii="Verdana" w:eastAsia="Calibri" w:hAnsi="Verdana" w:cs="Verdana"/>
          <w:b/>
          <w:bCs/>
          <w:i/>
          <w:sz w:val="26"/>
          <w:szCs w:val="26"/>
          <w:lang w:val="es-ES_tradnl"/>
        </w:rPr>
        <w:t xml:space="preserve">de modo que si la parte demandada renuncia al derecho de contestar la demanda </w:t>
      </w:r>
      <w:proofErr w:type="spellStart"/>
      <w:r>
        <w:rPr>
          <w:rFonts w:ascii="Verdana" w:eastAsia="Calibri" w:hAnsi="Verdana" w:cs="Verdana"/>
          <w:b/>
          <w:bCs/>
          <w:i/>
          <w:sz w:val="26"/>
          <w:szCs w:val="26"/>
          <w:lang w:val="es-ES_tradnl"/>
        </w:rPr>
        <w:t>aún</w:t>
      </w:r>
      <w:proofErr w:type="spellEnd"/>
      <w:r>
        <w:rPr>
          <w:rFonts w:ascii="Verdana" w:eastAsia="Calibri" w:hAnsi="Verdana" w:cs="Verdana"/>
          <w:b/>
          <w:bCs/>
          <w:i/>
          <w:sz w:val="26"/>
          <w:szCs w:val="26"/>
          <w:lang w:val="es-ES_tradnl"/>
        </w:rPr>
        <w:t xml:space="preserve"> así tendrá la oportunidad de participar en la etapa de conciliación con fines de adoptar con su contraparte un convenio que resuelva el conflicto o sus diferencias.</w:t>
      </w:r>
      <w:r>
        <w:rPr>
          <w:rFonts w:ascii="Verdana" w:eastAsia="Calibri" w:hAnsi="Verdana" w:cs="Verdana"/>
          <w:bCs/>
          <w:sz w:val="26"/>
          <w:szCs w:val="26"/>
          <w:lang w:val="es-ES_tradnl"/>
        </w:rPr>
        <w:t xml:space="preserve"> La citación a la audiencia preliminar se comunicará, en su momento, mediante notificación practicada por lista publicada en los estrados de este tribunal y consultable en el portal que tiene publicado el Poder Judicial del estado de Guanajuato en la red mundial de comunicaciones conocida como INTERNET, bajo la dirección https://poderjudicial-gto.gob.mx/modules.php?name=Consultas&amp;func=mercantil </w:t>
      </w:r>
    </w:p>
    <w:p w14:paraId="3C3FF95C" w14:textId="77777777" w:rsidR="003F04C9" w:rsidRDefault="003F04C9" w:rsidP="003F04C9">
      <w:pPr>
        <w:spacing w:line="360" w:lineRule="auto"/>
        <w:jc w:val="both"/>
        <w:rPr>
          <w:rFonts w:ascii="Verdana" w:hAnsi="Verdana"/>
          <w:b/>
          <w:bCs/>
          <w:sz w:val="26"/>
          <w:szCs w:val="26"/>
        </w:rPr>
      </w:pPr>
      <w:r>
        <w:rPr>
          <w:rFonts w:ascii="Verdana" w:hAnsi="Verdana" w:cs="Tahoma"/>
          <w:bCs/>
          <w:sz w:val="26"/>
          <w:szCs w:val="26"/>
        </w:rPr>
        <w:t xml:space="preserve">Igualmente y teniendo consideración que afines de hacer efectivo el derecho al acceso a la justicia reconocido en el artículo 17 diecisiete de la Constitución Federal y de privilegiar el derecho a la salud reconocido en el artículo 4° cuarto de la propia Carta Magna, se ha adoptado por el Consejo del Poder Judicial del estado de Guanajuato un acuerdo, en sesión celebrada el 20 veinte de agosto del año 2020 dos mil veinte, publicado en Periódico Oficial del estado el 1° primero de septiembre de la propia anualidad, reiterado en sesión ordinaria del 4 cuatro de mayo del año 2022 dos mil veintidós; que en congruencia con el derecho de acceso a internet y banda ancha y ponderando el principio de equivalencia funcional autoriza el uso de la videoconferencia, en tiempo real, como medida de prevención ante la contingencia </w:t>
      </w:r>
      <w:r>
        <w:rPr>
          <w:rFonts w:ascii="Verdana" w:hAnsi="Verdana" w:cs="Tahoma"/>
          <w:bCs/>
          <w:sz w:val="26"/>
          <w:szCs w:val="26"/>
        </w:rPr>
        <w:lastRenderedPageBreak/>
        <w:t xml:space="preserve">sanitaria provocada por el COVID-19, se hace saber a las partes que la audiencia preliminar que se contempla para este proceso en el artículo 1390 mil trescientos noventa Bis 32 treinta y dos del Código de Comercio podrá llevarse a cabo a través de videoconferencia, en tiempo real, con sujeción al mencionado acuerdo y manual respectivo, disponibles para el público en general bajo subdominio </w:t>
      </w:r>
      <w:hyperlink r:id="rId4" w:history="1">
        <w:r>
          <w:rPr>
            <w:rStyle w:val="Hipervnculo"/>
            <w:rFonts w:ascii="Verdana" w:eastAsiaTheme="majorEastAsia" w:hAnsi="Verdana"/>
            <w:color w:val="auto"/>
            <w:sz w:val="26"/>
            <w:szCs w:val="26"/>
            <w:u w:val="none"/>
          </w:rPr>
          <w:t>https://poderjudicial-gto.gob.mx/pdfs/medidascovid19/I.%20Acuerdo%20General%20Consejo%2020082020.pdf?v=1599498331</w:t>
        </w:r>
      </w:hyperlink>
      <w:r>
        <w:rPr>
          <w:rFonts w:ascii="Verdana" w:hAnsi="Verdana"/>
          <w:sz w:val="26"/>
          <w:szCs w:val="26"/>
        </w:rPr>
        <w:t xml:space="preserve"> y https://www.poderjudicial-gto.gob.mx/pdfs/d_1651881135_Acuerdo%20General%20Consejo%20-%20Mayo%2022.pdf</w:t>
      </w:r>
      <w:r>
        <w:rPr>
          <w:rFonts w:ascii="Verdana" w:hAnsi="Verdana" w:cs="Tahoma"/>
          <w:bCs/>
          <w:sz w:val="26"/>
          <w:szCs w:val="26"/>
        </w:rPr>
        <w:t xml:space="preserve">; </w:t>
      </w:r>
      <w:r>
        <w:rPr>
          <w:rFonts w:ascii="Verdana" w:hAnsi="Verdana" w:cs="Tahoma"/>
          <w:b/>
          <w:bCs/>
          <w:i/>
          <w:sz w:val="26"/>
          <w:szCs w:val="26"/>
        </w:rPr>
        <w:t>de modo que aquella parte que carezca de acceso a internet deberá comunicarlo con la anticipación necesaria para que su participación se determine en domicilio del juzgado</w:t>
      </w:r>
      <w:r>
        <w:rPr>
          <w:rFonts w:ascii="Verdana" w:hAnsi="Verdana" w:cs="Tahoma"/>
          <w:bCs/>
          <w:sz w:val="26"/>
          <w:szCs w:val="26"/>
        </w:rPr>
        <w:t xml:space="preserve">; bajo el apercibimiento que de no hacerlo así se le impondrá como medio de apremio previsto en el artículo 1067 mil sesenta y siete bis, fracción II segunda, del Código de Comercio multa hasta por </w:t>
      </w:r>
      <w:bookmarkStart w:id="0" w:name="_Hlk219717336"/>
      <w:r>
        <w:rPr>
          <w:rFonts w:ascii="Verdana" w:hAnsi="Verdana"/>
          <w:b/>
          <w:bCs/>
          <w:sz w:val="26"/>
          <w:szCs w:val="26"/>
        </w:rPr>
        <w:t>$11,090.53 (once mil noventa pesos 53/100 moneda nacional)</w:t>
      </w:r>
      <w:bookmarkEnd w:id="0"/>
      <w:r>
        <w:rPr>
          <w:rFonts w:ascii="Verdana" w:hAnsi="Verdana" w:cs="Verdana"/>
          <w:bCs/>
          <w:sz w:val="26"/>
          <w:szCs w:val="26"/>
        </w:rPr>
        <w:t>.- - - - - - - - - - - - - -</w:t>
      </w:r>
      <w:r>
        <w:rPr>
          <w:rFonts w:ascii="Verdana" w:hAnsi="Verdana" w:cs="Tahoma"/>
          <w:bCs/>
          <w:sz w:val="26"/>
          <w:szCs w:val="26"/>
        </w:rPr>
        <w:t xml:space="preserve"> - </w:t>
      </w:r>
    </w:p>
    <w:p w14:paraId="7D4E20A6" w14:textId="5A36EE12" w:rsidR="003F04C9" w:rsidRDefault="003F04C9" w:rsidP="003F04C9">
      <w:pPr>
        <w:pStyle w:val="Sangradetextonormal"/>
        <w:spacing w:after="0" w:line="360" w:lineRule="auto"/>
        <w:ind w:left="0" w:right="108" w:firstLine="851"/>
        <w:contextualSpacing/>
        <w:jc w:val="both"/>
        <w:rPr>
          <w:rFonts w:ascii="Verdana" w:eastAsia="Calibri" w:hAnsi="Verdana" w:cs="Verdana"/>
          <w:bCs/>
          <w:sz w:val="26"/>
          <w:szCs w:val="26"/>
        </w:rPr>
      </w:pPr>
      <w:r>
        <w:rPr>
          <w:rFonts w:ascii="Verdana" w:eastAsia="Calibri" w:hAnsi="Verdana" w:cs="Verdana"/>
          <w:bCs/>
          <w:sz w:val="26"/>
          <w:szCs w:val="26"/>
        </w:rPr>
        <w:t>Por otra parte, se tiene a la parte actora ofreciendo como pruebas</w:t>
      </w:r>
      <w:r>
        <w:rPr>
          <w:rFonts w:ascii="Verdana" w:eastAsia="Calibri" w:hAnsi="Verdana" w:cs="Verdana"/>
          <w:b/>
          <w:bCs/>
          <w:sz w:val="26"/>
          <w:szCs w:val="26"/>
        </w:rPr>
        <w:t xml:space="preserve"> la documental </w:t>
      </w:r>
      <w:r>
        <w:rPr>
          <w:rFonts w:ascii="Verdana" w:eastAsia="Calibri" w:hAnsi="Verdana" w:cs="Verdana"/>
          <w:sz w:val="26"/>
          <w:szCs w:val="26"/>
        </w:rPr>
        <w:t>que refiere</w:t>
      </w:r>
      <w:r>
        <w:rPr>
          <w:rFonts w:ascii="Verdana" w:eastAsia="Calibri" w:hAnsi="Verdana" w:cs="Verdana"/>
          <w:b/>
          <w:bCs/>
          <w:sz w:val="26"/>
          <w:szCs w:val="26"/>
        </w:rPr>
        <w:t>,</w:t>
      </w:r>
      <w:r>
        <w:rPr>
          <w:rFonts w:ascii="Verdana" w:eastAsia="Calibri" w:hAnsi="Verdana" w:cs="Verdana"/>
          <w:bCs/>
          <w:sz w:val="26"/>
          <w:szCs w:val="26"/>
        </w:rPr>
        <w:t xml:space="preserve"> </w:t>
      </w:r>
      <w:r>
        <w:rPr>
          <w:rFonts w:ascii="Verdana" w:eastAsia="Calibri" w:hAnsi="Verdana" w:cs="Verdana"/>
          <w:b/>
          <w:sz w:val="26"/>
          <w:szCs w:val="26"/>
        </w:rPr>
        <w:t xml:space="preserve">la confesional </w:t>
      </w:r>
      <w:r w:rsidRPr="003F04C9">
        <w:rPr>
          <w:rFonts w:ascii="Verdana" w:eastAsia="Calibri" w:hAnsi="Verdana" w:cs="Verdana"/>
          <w:bCs/>
          <w:sz w:val="26"/>
          <w:szCs w:val="26"/>
        </w:rPr>
        <w:t xml:space="preserve">y </w:t>
      </w:r>
      <w:r>
        <w:rPr>
          <w:rFonts w:ascii="Verdana" w:eastAsia="Calibri" w:hAnsi="Verdana" w:cs="Verdana"/>
          <w:b/>
          <w:sz w:val="26"/>
          <w:szCs w:val="26"/>
        </w:rPr>
        <w:t xml:space="preserve">la testimonial; </w:t>
      </w:r>
      <w:r>
        <w:rPr>
          <w:rFonts w:ascii="Verdana" w:eastAsia="Calibri" w:hAnsi="Verdana" w:cs="Verdana"/>
          <w:bCs/>
          <w:sz w:val="26"/>
          <w:szCs w:val="26"/>
        </w:rPr>
        <w:t xml:space="preserve">mismas que serán calificadas en la etapa prevista por la fracción V quinta del artículo 1390 mil trescientos noventa Bis 32 treinta y dos del Código de Comercio. - - - - - - - - - - - - - - - - - - - - - - - - - - - - - - - </w:t>
      </w:r>
    </w:p>
    <w:p w14:paraId="39478587" w14:textId="196189C9" w:rsidR="003F04C9" w:rsidRDefault="003F04C9" w:rsidP="003F04C9">
      <w:pPr>
        <w:pStyle w:val="Sangradetextonormal"/>
        <w:spacing w:after="0" w:line="360" w:lineRule="auto"/>
        <w:ind w:left="0" w:right="108" w:firstLine="851"/>
        <w:contextualSpacing/>
        <w:jc w:val="both"/>
        <w:rPr>
          <w:rFonts w:ascii="Verdana" w:hAnsi="Verdana" w:cs="Verdana"/>
          <w:sz w:val="26"/>
          <w:szCs w:val="26"/>
        </w:rPr>
      </w:pPr>
      <w:r>
        <w:rPr>
          <w:rFonts w:ascii="Verdana" w:hAnsi="Verdana" w:cs="Tahoma"/>
          <w:sz w:val="26"/>
          <w:szCs w:val="26"/>
        </w:rPr>
        <w:lastRenderedPageBreak/>
        <w:t xml:space="preserve">Asimismo, se tiene al promovente </w:t>
      </w:r>
      <w:bookmarkStart w:id="1" w:name="_Hlk209700304"/>
      <w:r>
        <w:rPr>
          <w:rFonts w:ascii="Verdana" w:hAnsi="Verdana" w:cs="Tahoma"/>
          <w:sz w:val="26"/>
          <w:szCs w:val="26"/>
        </w:rPr>
        <w:t xml:space="preserve">señalando como domicilio para </w:t>
      </w:r>
      <w:r>
        <w:rPr>
          <w:rFonts w:ascii="Verdana" w:hAnsi="Verdana" w:cs="Verdana"/>
          <w:sz w:val="26"/>
          <w:szCs w:val="26"/>
        </w:rPr>
        <w:t xml:space="preserve">recibir notificaciones el ubicado en </w:t>
      </w:r>
      <w:r>
        <w:rPr>
          <w:rFonts w:ascii="Verdana" w:hAnsi="Verdana" w:cs="Verdana"/>
          <w:b/>
          <w:bCs/>
          <w:sz w:val="26"/>
          <w:szCs w:val="26"/>
        </w:rPr>
        <w:t xml:space="preserve">el número 570quiniento setenta de la avenida Florencia del fraccionamiento Residencial Campestre de este </w:t>
      </w:r>
      <w:proofErr w:type="gramStart"/>
      <w:r>
        <w:rPr>
          <w:rFonts w:ascii="Verdana" w:hAnsi="Verdana" w:cs="Verdana"/>
          <w:b/>
          <w:bCs/>
          <w:sz w:val="26"/>
          <w:szCs w:val="26"/>
        </w:rPr>
        <w:t>municipio</w:t>
      </w:r>
      <w:r>
        <w:rPr>
          <w:rFonts w:ascii="Verdana" w:hAnsi="Verdana" w:cs="Verdana"/>
          <w:sz w:val="26"/>
          <w:szCs w:val="26"/>
        </w:rPr>
        <w:t>.-</w:t>
      </w:r>
      <w:proofErr w:type="gramEnd"/>
      <w:r>
        <w:rPr>
          <w:rFonts w:ascii="Verdana" w:hAnsi="Verdana" w:cs="Verdana"/>
          <w:sz w:val="26"/>
          <w:szCs w:val="26"/>
        </w:rPr>
        <w:t xml:space="preserve"> - - - - - - - - - - - - - - - - - - - - - - - - - - - - - - </w:t>
      </w:r>
    </w:p>
    <w:bookmarkEnd w:id="1"/>
    <w:p w14:paraId="07DA6463" w14:textId="495606AA" w:rsidR="003F04C9" w:rsidRDefault="003F04C9" w:rsidP="003F04C9">
      <w:pPr>
        <w:spacing w:line="360" w:lineRule="auto"/>
        <w:ind w:right="26" w:firstLine="708"/>
        <w:jc w:val="both"/>
        <w:rPr>
          <w:rFonts w:ascii="Verdana" w:hAnsi="Verdana" w:cs="Tahoma"/>
          <w:bCs/>
          <w:sz w:val="26"/>
          <w:szCs w:val="26"/>
        </w:rPr>
      </w:pPr>
      <w:r>
        <w:rPr>
          <w:rFonts w:ascii="Verdana" w:hAnsi="Verdana" w:cs="Tahoma"/>
          <w:bCs/>
          <w:sz w:val="26"/>
          <w:szCs w:val="26"/>
        </w:rPr>
        <w:t>Por último, se hace del conocimiento de las partes que el procedimiento iniciado por</w:t>
      </w:r>
      <w:r>
        <w:rPr>
          <w:rFonts w:ascii="Verdana" w:hAnsi="Verdana" w:cs="Verdana"/>
          <w:b/>
          <w:sz w:val="26"/>
          <w:szCs w:val="26"/>
        </w:rPr>
        <w:t xml:space="preserve"> </w:t>
      </w:r>
      <w:r>
        <w:rPr>
          <w:rFonts w:ascii="Verdana" w:hAnsi="Verdana" w:cs="Verdana"/>
          <w:b/>
          <w:bCs/>
          <w:sz w:val="26"/>
          <w:szCs w:val="26"/>
        </w:rPr>
        <w:t>“Club Deportivo Irapuato”, Asociación Civil,</w:t>
      </w:r>
      <w:r>
        <w:rPr>
          <w:rFonts w:ascii="Verdana" w:hAnsi="Verdana" w:cs="Tahoma"/>
          <w:bCs/>
          <w:sz w:val="26"/>
          <w:szCs w:val="26"/>
        </w:rPr>
        <w:t xml:space="preserve"> se tramitará conforme al decreto de reforma al Código de Comercio, publicado en el Diario Oficial de la Federación el 25 veinticinco de enero del año 2017 dos mil diecisiete, reformado y adicionado por el diverso publicado en ese Diario el 28 veintiocho de marzo del año 2018 dos mil </w:t>
      </w:r>
      <w:proofErr w:type="gramStart"/>
      <w:r>
        <w:rPr>
          <w:rFonts w:ascii="Verdana" w:hAnsi="Verdana" w:cs="Tahoma"/>
          <w:bCs/>
          <w:sz w:val="26"/>
          <w:szCs w:val="26"/>
        </w:rPr>
        <w:t>dieciocho.-</w:t>
      </w:r>
      <w:proofErr w:type="gramEnd"/>
      <w:r>
        <w:rPr>
          <w:rFonts w:ascii="Verdana" w:hAnsi="Verdana" w:cs="Tahoma"/>
          <w:bCs/>
          <w:sz w:val="26"/>
          <w:szCs w:val="26"/>
        </w:rPr>
        <w:t xml:space="preserve"> - </w:t>
      </w:r>
      <w:r>
        <w:rPr>
          <w:rFonts w:ascii="Verdana" w:hAnsi="Verdana" w:cs="Verdana"/>
          <w:sz w:val="26"/>
          <w:szCs w:val="26"/>
        </w:rPr>
        <w:t xml:space="preserve">- - - - - - - - - - - - - - - - - - - - - - - - - - - - - - </w:t>
      </w:r>
    </w:p>
    <w:p w14:paraId="6049E35C" w14:textId="77777777" w:rsidR="003F04C9" w:rsidRDefault="003F04C9" w:rsidP="003F04C9">
      <w:pPr>
        <w:spacing w:line="360" w:lineRule="auto"/>
        <w:ind w:right="26" w:firstLine="708"/>
        <w:jc w:val="both"/>
        <w:rPr>
          <w:rFonts w:ascii="Verdana" w:hAnsi="Verdana" w:cs="Verdana"/>
          <w:sz w:val="26"/>
          <w:szCs w:val="26"/>
        </w:rPr>
      </w:pPr>
    </w:p>
    <w:p w14:paraId="0DA41F82" w14:textId="77777777" w:rsidR="003F04C9" w:rsidRDefault="003F04C9" w:rsidP="003F04C9">
      <w:pPr>
        <w:spacing w:line="360" w:lineRule="auto"/>
        <w:ind w:right="26" w:firstLine="708"/>
        <w:jc w:val="both"/>
        <w:rPr>
          <w:rFonts w:ascii="Verdana" w:hAnsi="Verdana" w:cs="Verdana"/>
          <w:sz w:val="26"/>
          <w:szCs w:val="26"/>
        </w:rPr>
      </w:pPr>
      <w:r>
        <w:rPr>
          <w:rFonts w:ascii="Verdana" w:hAnsi="Verdana" w:cs="Verdana"/>
          <w:sz w:val="26"/>
          <w:szCs w:val="26"/>
        </w:rPr>
        <w:t xml:space="preserve">Notifíquese por lista. - - - - - - - - - - - - - - - - - - - - - </w:t>
      </w:r>
    </w:p>
    <w:p w14:paraId="6C5984F5" w14:textId="77777777" w:rsidR="003F04C9" w:rsidRDefault="003F04C9" w:rsidP="003F04C9">
      <w:pPr>
        <w:spacing w:line="360" w:lineRule="auto"/>
        <w:ind w:right="26" w:firstLine="708"/>
        <w:jc w:val="both"/>
        <w:rPr>
          <w:rFonts w:ascii="Verdana" w:hAnsi="Verdana" w:cs="Verdana"/>
          <w:sz w:val="26"/>
          <w:szCs w:val="26"/>
        </w:rPr>
      </w:pPr>
    </w:p>
    <w:p w14:paraId="414E96D3" w14:textId="1AC51F69" w:rsidR="003F04C9" w:rsidRDefault="003F04C9" w:rsidP="003F04C9">
      <w:pPr>
        <w:spacing w:line="360" w:lineRule="auto"/>
        <w:ind w:firstLine="708"/>
        <w:jc w:val="both"/>
        <w:rPr>
          <w:rFonts w:ascii="Verdana" w:hAnsi="Verdana" w:cs="Verdana"/>
          <w:sz w:val="26"/>
          <w:szCs w:val="26"/>
        </w:rPr>
      </w:pPr>
      <w:r>
        <w:rPr>
          <w:rFonts w:ascii="Verdana" w:hAnsi="Verdana" w:cs="Verdana"/>
          <w:sz w:val="26"/>
          <w:szCs w:val="26"/>
        </w:rPr>
        <w:t>Así lo proveyó y firma la licenciada</w:t>
      </w:r>
      <w:r>
        <w:rPr>
          <w:rFonts w:ascii="Verdana" w:hAnsi="Verdana" w:cs="Verdana"/>
          <w:b/>
          <w:sz w:val="26"/>
          <w:szCs w:val="26"/>
        </w:rPr>
        <w:t xml:space="preserve"> Alicia Sandoval Martínez,</w:t>
      </w:r>
      <w:r>
        <w:rPr>
          <w:rFonts w:ascii="Verdana" w:hAnsi="Verdana" w:cs="Verdana"/>
          <w:sz w:val="26"/>
          <w:szCs w:val="26"/>
        </w:rPr>
        <w:t xml:space="preserve"> Juez Civil de Partido, especializada en Oralidad Mercantil, con jurisdicción en la Región Irapuato; quien actúa en forma legal con Secretario que da fe, Licenciado </w:t>
      </w:r>
      <w:r>
        <w:rPr>
          <w:rFonts w:ascii="Verdana" w:hAnsi="Verdana" w:cs="Verdana"/>
          <w:b/>
          <w:sz w:val="26"/>
          <w:szCs w:val="26"/>
        </w:rPr>
        <w:t xml:space="preserve">Omar Ramírez </w:t>
      </w:r>
      <w:proofErr w:type="gramStart"/>
      <w:r>
        <w:rPr>
          <w:rFonts w:ascii="Verdana" w:hAnsi="Verdana" w:cs="Verdana"/>
          <w:b/>
          <w:sz w:val="26"/>
          <w:szCs w:val="26"/>
        </w:rPr>
        <w:t>Belmán</w:t>
      </w:r>
      <w:r>
        <w:rPr>
          <w:rFonts w:ascii="Verdana" w:hAnsi="Verdana" w:cs="Verdana"/>
          <w:sz w:val="26"/>
          <w:szCs w:val="26"/>
        </w:rPr>
        <w:t>.-</w:t>
      </w:r>
      <w:proofErr w:type="gramEnd"/>
      <w:r>
        <w:rPr>
          <w:rFonts w:ascii="Verdana" w:hAnsi="Verdana" w:cs="Verdana"/>
          <w:sz w:val="26"/>
          <w:szCs w:val="26"/>
        </w:rPr>
        <w:t xml:space="preserve"> DOY FE. </w:t>
      </w:r>
      <w:r>
        <w:rPr>
          <w:rFonts w:ascii="Verdana" w:hAnsi="Verdana" w:cs="Verdana"/>
          <w:bCs/>
          <w:sz w:val="26"/>
          <w:szCs w:val="26"/>
        </w:rPr>
        <w:t>- - - - - - - - - - - - - - - - - - - -</w:t>
      </w:r>
    </w:p>
    <w:p w14:paraId="7EFD052C" w14:textId="77777777" w:rsidR="003F04C9" w:rsidRDefault="003F04C9" w:rsidP="003F04C9">
      <w:pPr>
        <w:spacing w:line="360" w:lineRule="auto"/>
        <w:ind w:left="708" w:hanging="708"/>
        <w:jc w:val="both"/>
        <w:rPr>
          <w:rFonts w:ascii="Verdana" w:hAnsi="Verdana" w:cs="Verdana"/>
          <w:sz w:val="26"/>
          <w:szCs w:val="26"/>
        </w:rPr>
      </w:pPr>
    </w:p>
    <w:p w14:paraId="4BBC7819" w14:textId="77777777" w:rsidR="003F04C9" w:rsidRDefault="003F04C9" w:rsidP="003F04C9">
      <w:pPr>
        <w:jc w:val="both"/>
        <w:rPr>
          <w:rFonts w:ascii="Verdana" w:hAnsi="Verdana" w:cs="Verdana"/>
          <w:sz w:val="26"/>
          <w:szCs w:val="26"/>
        </w:rPr>
      </w:pPr>
    </w:p>
    <w:p w14:paraId="18582E87" w14:textId="77777777" w:rsidR="003F04C9" w:rsidRDefault="003F04C9" w:rsidP="003F04C9">
      <w:pPr>
        <w:jc w:val="both"/>
        <w:rPr>
          <w:rFonts w:ascii="Verdana" w:hAnsi="Verdana" w:cs="Verdana"/>
          <w:sz w:val="26"/>
          <w:szCs w:val="26"/>
        </w:rPr>
      </w:pPr>
    </w:p>
    <w:p w14:paraId="626227CA" w14:textId="28C970E9" w:rsidR="00627D60" w:rsidRPr="003F04C9" w:rsidRDefault="003F04C9" w:rsidP="003F04C9">
      <w:pPr>
        <w:spacing w:line="360" w:lineRule="auto"/>
        <w:jc w:val="both"/>
        <w:rPr>
          <w:rFonts w:ascii="Verdana" w:hAnsi="Verdana"/>
          <w:sz w:val="26"/>
          <w:szCs w:val="26"/>
        </w:rPr>
      </w:pPr>
      <w:r>
        <w:rPr>
          <w:rFonts w:ascii="Verdana" w:hAnsi="Verdana" w:cs="Verdana"/>
          <w:sz w:val="26"/>
          <w:szCs w:val="26"/>
        </w:rPr>
        <w:t xml:space="preserve">LA RESOLUCIÓN QUE ANTECEDE FUE NOTIFICADA POR MEDIO DE LISTA PUBLICADA A LAS 9:00 NUEVE HORAS DEL 30 TREINTA DE ENERO DEL AÑO 2026 DOS MIL VEINTISÉIS. DOY </w:t>
      </w:r>
      <w:proofErr w:type="gramStart"/>
      <w:r>
        <w:rPr>
          <w:rFonts w:ascii="Verdana" w:hAnsi="Verdana" w:cs="Verdana"/>
          <w:sz w:val="26"/>
          <w:szCs w:val="26"/>
        </w:rPr>
        <w:t>FE.-</w:t>
      </w:r>
      <w:proofErr w:type="gramEnd"/>
      <w:r>
        <w:rPr>
          <w:rFonts w:ascii="Verdana" w:hAnsi="Verdana" w:cs="Verdana"/>
          <w:sz w:val="26"/>
          <w:szCs w:val="26"/>
        </w:rPr>
        <w:t xml:space="preserve"> - - - - - - - - - - - - - - - - - - - - - - - - - - - - - - - -</w:t>
      </w:r>
    </w:p>
    <w:sectPr w:rsidR="00627D60" w:rsidRPr="003F04C9" w:rsidSect="003F04C9">
      <w:pgSz w:w="12240" w:h="18720" w:code="119"/>
      <w:pgMar w:top="4253" w:right="2098" w:bottom="1418" w:left="209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aft 10cpi">
    <w:altName w:val="Calibri"/>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C9"/>
    <w:rsid w:val="003868FA"/>
    <w:rsid w:val="003F04C9"/>
    <w:rsid w:val="00627D60"/>
    <w:rsid w:val="00AB57DA"/>
    <w:rsid w:val="00BF02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3F901"/>
  <w15:chartTrackingRefBased/>
  <w15:docId w15:val="{EACA85D3-D0D8-4C1D-98F1-1906FAFA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C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F04C9"/>
    <w:rPr>
      <w:color w:val="0563C1" w:themeColor="hyperlink"/>
      <w:u w:val="single"/>
    </w:rPr>
  </w:style>
  <w:style w:type="character" w:customStyle="1" w:styleId="SangradetextonormalCar">
    <w:name w:val="Sangría de texto normal Car"/>
    <w:aliases w:val="Sangría de t. independiente Car"/>
    <w:basedOn w:val="Fuentedeprrafopredeter"/>
    <w:link w:val="Sangradetextonormal"/>
    <w:semiHidden/>
    <w:locked/>
    <w:rsid w:val="003F04C9"/>
    <w:rPr>
      <w:rFonts w:ascii="Draft 10cpi" w:eastAsia="Times New Roman" w:hAnsi="Draft 10cpi" w:cs="Draft 10cpi"/>
      <w:sz w:val="16"/>
      <w:szCs w:val="16"/>
      <w:lang w:val="es-ES_tradnl" w:eastAsia="es-ES"/>
    </w:rPr>
  </w:style>
  <w:style w:type="paragraph" w:styleId="Sangradetextonormal">
    <w:name w:val="Body Text Indent"/>
    <w:aliases w:val="Sangría de t. independiente"/>
    <w:basedOn w:val="Normal"/>
    <w:link w:val="SangradetextonormalCar"/>
    <w:semiHidden/>
    <w:unhideWhenUsed/>
    <w:rsid w:val="003F04C9"/>
    <w:pPr>
      <w:spacing w:after="120"/>
      <w:ind w:left="283"/>
    </w:pPr>
    <w:rPr>
      <w:rFonts w:ascii="Draft 10cpi" w:hAnsi="Draft 10cpi" w:cs="Draft 10cpi"/>
      <w:sz w:val="16"/>
      <w:szCs w:val="16"/>
      <w:lang w:val="es-ES_tradnl"/>
    </w:rPr>
  </w:style>
  <w:style w:type="character" w:customStyle="1" w:styleId="SangradetextonormalCar1">
    <w:name w:val="Sangría de texto normal Car1"/>
    <w:basedOn w:val="Fuentedeprrafopredeter"/>
    <w:uiPriority w:val="99"/>
    <w:semiHidden/>
    <w:rsid w:val="003F04C9"/>
    <w:rPr>
      <w:rFonts w:ascii="Times New Roman" w:eastAsia="Times New Roman" w:hAnsi="Times New Roman" w:cs="Times New Roman"/>
      <w:sz w:val="24"/>
      <w:szCs w:val="24"/>
      <w:lang w:val="es-ES" w:eastAsia="es-ES"/>
    </w:rPr>
  </w:style>
  <w:style w:type="paragraph" w:styleId="Sinespaciado">
    <w:name w:val="No Spacing"/>
    <w:uiPriority w:val="1"/>
    <w:qFormat/>
    <w:rsid w:val="003868FA"/>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32168">
      <w:bodyDiv w:val="1"/>
      <w:marLeft w:val="0"/>
      <w:marRight w:val="0"/>
      <w:marTop w:val="0"/>
      <w:marBottom w:val="0"/>
      <w:divBdr>
        <w:top w:val="none" w:sz="0" w:space="0" w:color="auto"/>
        <w:left w:val="none" w:sz="0" w:space="0" w:color="auto"/>
        <w:bottom w:val="none" w:sz="0" w:space="0" w:color="auto"/>
        <w:right w:val="none" w:sz="0" w:space="0" w:color="auto"/>
      </w:divBdr>
    </w:div>
    <w:div w:id="71809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oderjudicial-gto.gob.mx/pdfs/medidascovid19/I.%20Acuerdo%20General%20Consejo%2020082020.pdf?v=159949833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1412</Words>
  <Characters>7766</Characters>
  <Application>Microsoft Office Word</Application>
  <DocSecurity>0</DocSecurity>
  <Lines>64</Lines>
  <Paragraphs>18</Paragraphs>
  <ScaleCrop>false</ScaleCrop>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Poder Judicial del Estado de Guanajuato</dc:creator>
  <cp:keywords/>
  <dc:description/>
  <cp:lastModifiedBy>Baltazar Gutierrez Negrete</cp:lastModifiedBy>
  <cp:revision>3</cp:revision>
  <cp:lastPrinted>2026-01-29T21:00:00Z</cp:lastPrinted>
  <dcterms:created xsi:type="dcterms:W3CDTF">2026-01-29T20:50:00Z</dcterms:created>
  <dcterms:modified xsi:type="dcterms:W3CDTF">2026-04-18T16:20:00Z</dcterms:modified>
</cp:coreProperties>
</file>